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7A5" w:rsidRDefault="00ED5DE3" w:rsidP="00F33261">
      <w:pPr>
        <w:jc w:val="center"/>
        <w:rPr>
          <w:rStyle w:val="Strong"/>
          <w:sz w:val="28"/>
        </w:rPr>
      </w:pPr>
      <w:bookmarkStart w:id="0" w:name="_GoBack"/>
      <w:bookmarkEnd w:id="0"/>
      <w:r>
        <w:rPr>
          <w:rStyle w:val="Strong"/>
          <w:sz w:val="28"/>
        </w:rPr>
        <w:t>BHS Manuscript P</w:t>
      </w:r>
      <w:r w:rsidR="00C777A5" w:rsidRPr="00C777A5">
        <w:rPr>
          <w:rStyle w:val="Strong"/>
          <w:sz w:val="28"/>
        </w:rPr>
        <w:t>roposal</w:t>
      </w:r>
      <w:r w:rsidR="001709D7">
        <w:rPr>
          <w:rStyle w:val="Strong"/>
          <w:sz w:val="28"/>
        </w:rPr>
        <w:t xml:space="preserve"> </w:t>
      </w:r>
    </w:p>
    <w:p w:rsidR="001D19DF" w:rsidRPr="00C777A5" w:rsidRDefault="001D19DF" w:rsidP="00C777A5">
      <w:pPr>
        <w:jc w:val="center"/>
        <w:rPr>
          <w:rStyle w:val="Strong"/>
          <w:sz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8"/>
        <w:gridCol w:w="5958"/>
      </w:tblGrid>
      <w:tr w:rsidR="006D6A8F" w:rsidTr="006D6A8F">
        <w:tc>
          <w:tcPr>
            <w:tcW w:w="3618" w:type="dxa"/>
          </w:tcPr>
          <w:p w:rsidR="006D6A8F" w:rsidRPr="00C777A5" w:rsidRDefault="006D6A8F" w:rsidP="006D6A8F">
            <w:pPr>
              <w:jc w:val="both"/>
            </w:pPr>
            <w:r w:rsidRPr="00C777A5">
              <w:rPr>
                <w:rFonts w:ascii="Times New Roman" w:hAnsi="Times New Roman" w:cs="Times New Roman"/>
                <w:b/>
              </w:rPr>
              <w:t>Title of Manuscript</w:t>
            </w:r>
          </w:p>
          <w:p w:rsidR="006D6A8F" w:rsidRDefault="006D6A8F" w:rsidP="006D6A8F">
            <w:pPr>
              <w:jc w:val="both"/>
            </w:pPr>
          </w:p>
        </w:tc>
        <w:tc>
          <w:tcPr>
            <w:tcW w:w="5958" w:type="dxa"/>
          </w:tcPr>
          <w:p w:rsidR="00BE282B" w:rsidRPr="0089237B" w:rsidRDefault="00BE282B" w:rsidP="00BE282B">
            <w:pPr>
              <w:rPr>
                <w:rFonts w:ascii="Times New Roman" w:hAnsi="Times New Roman" w:cs="Times New Roman"/>
              </w:rPr>
            </w:pPr>
            <w:r>
              <w:rPr>
                <w:rFonts w:ascii="Times New Roman" w:hAnsi="Times New Roman" w:cs="Times New Roman"/>
              </w:rPr>
              <w:t>Childhood Obesity</w:t>
            </w:r>
            <w:r w:rsidRPr="00715558">
              <w:rPr>
                <w:rFonts w:ascii="Times New Roman" w:hAnsi="Times New Roman" w:cs="Times New Roman"/>
              </w:rPr>
              <w:t xml:space="preserve"> and </w:t>
            </w:r>
            <w:r w:rsidR="00ED5DE3" w:rsidRPr="00715558">
              <w:rPr>
                <w:rFonts w:ascii="Times New Roman" w:hAnsi="Times New Roman" w:cs="Times New Roman"/>
              </w:rPr>
              <w:t xml:space="preserve">Risk </w:t>
            </w:r>
            <w:r w:rsidR="00ED5DE3">
              <w:rPr>
                <w:rFonts w:ascii="Times New Roman" w:hAnsi="Times New Roman" w:cs="Times New Roman"/>
              </w:rPr>
              <w:t xml:space="preserve">of </w:t>
            </w:r>
            <w:r w:rsidRPr="00715558">
              <w:rPr>
                <w:rFonts w:ascii="Times New Roman" w:hAnsi="Times New Roman" w:cs="Times New Roman"/>
              </w:rPr>
              <w:t>Sleep Apnea</w:t>
            </w:r>
            <w:r w:rsidR="00ED5DE3">
              <w:rPr>
                <w:rFonts w:ascii="Times New Roman" w:hAnsi="Times New Roman" w:cs="Times New Roman"/>
              </w:rPr>
              <w:t xml:space="preserve"> in</w:t>
            </w:r>
            <w:r w:rsidR="00ED5DE3">
              <w:t xml:space="preserve"> </w:t>
            </w:r>
            <w:r w:rsidR="00ED5DE3" w:rsidRPr="00ED5DE3">
              <w:rPr>
                <w:rFonts w:ascii="Times New Roman" w:hAnsi="Times New Roman" w:cs="Times New Roman"/>
              </w:rPr>
              <w:t>Middle-Age</w:t>
            </w:r>
            <w:r w:rsidRPr="00715558">
              <w:rPr>
                <w:rFonts w:ascii="Times New Roman" w:hAnsi="Times New Roman" w:cs="Times New Roman"/>
              </w:rPr>
              <w:t>: The Bogalusa Heart Study</w:t>
            </w:r>
            <w:r w:rsidRPr="0089237B">
              <w:rPr>
                <w:rFonts w:ascii="Times New Roman" w:hAnsi="Times New Roman" w:cs="Times New Roman"/>
              </w:rPr>
              <w:t xml:space="preserve"> </w:t>
            </w:r>
          </w:p>
          <w:p w:rsidR="005D0F65" w:rsidRPr="005D0F65" w:rsidRDefault="005D0F65" w:rsidP="00BE282B">
            <w:pPr>
              <w:jc w:val="both"/>
              <w:rPr>
                <w:rFonts w:ascii="Times New Roman" w:hAnsi="Times New Roman" w:cs="Times New Roman"/>
                <w:b/>
              </w:rPr>
            </w:pPr>
          </w:p>
        </w:tc>
      </w:tr>
      <w:tr w:rsidR="006D6A8F" w:rsidTr="006D6A8F">
        <w:tc>
          <w:tcPr>
            <w:tcW w:w="3618" w:type="dxa"/>
          </w:tcPr>
          <w:p w:rsidR="006D6A8F" w:rsidRDefault="006D6A8F" w:rsidP="006D6A8F">
            <w:pPr>
              <w:jc w:val="both"/>
            </w:pPr>
            <w:r w:rsidRPr="00C777A5">
              <w:rPr>
                <w:rFonts w:ascii="Times New Roman" w:hAnsi="Times New Roman" w:cs="Times New Roman"/>
                <w:b/>
              </w:rPr>
              <w:t>Name of Primary Author</w:t>
            </w:r>
          </w:p>
        </w:tc>
        <w:tc>
          <w:tcPr>
            <w:tcW w:w="5958" w:type="dxa"/>
          </w:tcPr>
          <w:p w:rsidR="006D6A8F" w:rsidRDefault="004F4616" w:rsidP="004F4616">
            <w:pPr>
              <w:jc w:val="both"/>
              <w:rPr>
                <w:rFonts w:ascii="Times New Roman" w:hAnsi="Times New Roman" w:cs="Times New Roman"/>
              </w:rPr>
            </w:pPr>
            <w:r>
              <w:rPr>
                <w:rFonts w:ascii="Times New Roman" w:hAnsi="Times New Roman" w:cs="Times New Roman"/>
              </w:rPr>
              <w:t xml:space="preserve">Lydia </w:t>
            </w:r>
            <w:proofErr w:type="spellStart"/>
            <w:r>
              <w:rPr>
                <w:rFonts w:ascii="Times New Roman" w:hAnsi="Times New Roman" w:cs="Times New Roman"/>
              </w:rPr>
              <w:t>Bazzano</w:t>
            </w:r>
            <w:proofErr w:type="spellEnd"/>
          </w:p>
          <w:p w:rsidR="004F4616" w:rsidRDefault="004F4616" w:rsidP="004F4616">
            <w:pPr>
              <w:jc w:val="both"/>
            </w:pPr>
          </w:p>
        </w:tc>
      </w:tr>
      <w:tr w:rsidR="006D6A8F" w:rsidTr="006D6A8F">
        <w:tc>
          <w:tcPr>
            <w:tcW w:w="3618" w:type="dxa"/>
          </w:tcPr>
          <w:p w:rsidR="006D6A8F" w:rsidRPr="00C777A5" w:rsidRDefault="006D6A8F" w:rsidP="006D6A8F">
            <w:pPr>
              <w:jc w:val="both"/>
              <w:rPr>
                <w:rFonts w:ascii="Times New Roman" w:hAnsi="Times New Roman" w:cs="Times New Roman"/>
              </w:rPr>
            </w:pPr>
            <w:r w:rsidRPr="00C777A5">
              <w:rPr>
                <w:rFonts w:ascii="Times New Roman" w:hAnsi="Times New Roman" w:cs="Times New Roman"/>
                <w:b/>
              </w:rPr>
              <w:t>Author Affiliation</w:t>
            </w:r>
            <w:r w:rsidRPr="00C777A5">
              <w:rPr>
                <w:rFonts w:ascii="Times New Roman" w:hAnsi="Times New Roman" w:cs="Times New Roman"/>
              </w:rPr>
              <w:t xml:space="preserve"> </w:t>
            </w:r>
          </w:p>
          <w:p w:rsidR="006D6A8F" w:rsidRDefault="006D6A8F" w:rsidP="006D6A8F">
            <w:pPr>
              <w:jc w:val="both"/>
            </w:pPr>
          </w:p>
        </w:tc>
        <w:tc>
          <w:tcPr>
            <w:tcW w:w="5958" w:type="dxa"/>
          </w:tcPr>
          <w:p w:rsidR="006D6A8F" w:rsidRDefault="006D6A8F" w:rsidP="006D6A8F">
            <w:pPr>
              <w:jc w:val="both"/>
            </w:pPr>
            <w:r w:rsidRPr="00C777A5">
              <w:rPr>
                <w:rFonts w:ascii="Times New Roman" w:hAnsi="Times New Roman" w:cs="Times New Roman"/>
              </w:rPr>
              <w:t>Tulane SPHTM</w:t>
            </w:r>
          </w:p>
        </w:tc>
      </w:tr>
      <w:tr w:rsidR="006D6A8F" w:rsidTr="006D6A8F">
        <w:tc>
          <w:tcPr>
            <w:tcW w:w="3618" w:type="dxa"/>
          </w:tcPr>
          <w:p w:rsidR="006D6A8F" w:rsidRPr="00C777A5" w:rsidRDefault="006D6A8F" w:rsidP="006D6A8F">
            <w:pPr>
              <w:jc w:val="both"/>
              <w:rPr>
                <w:rFonts w:ascii="Times New Roman" w:hAnsi="Times New Roman" w:cs="Times New Roman"/>
              </w:rPr>
            </w:pPr>
            <w:r w:rsidRPr="00C777A5">
              <w:rPr>
                <w:rFonts w:ascii="Times New Roman" w:hAnsi="Times New Roman" w:cs="Times New Roman"/>
                <w:b/>
              </w:rPr>
              <w:t>Name of Corresponding Author</w:t>
            </w:r>
          </w:p>
          <w:p w:rsidR="006D6A8F" w:rsidRDefault="006D6A8F" w:rsidP="006D6A8F">
            <w:pPr>
              <w:jc w:val="both"/>
            </w:pPr>
          </w:p>
        </w:tc>
        <w:tc>
          <w:tcPr>
            <w:tcW w:w="5958" w:type="dxa"/>
          </w:tcPr>
          <w:p w:rsidR="006D6A8F" w:rsidRDefault="006D6A8F" w:rsidP="006D6A8F">
            <w:pPr>
              <w:jc w:val="both"/>
            </w:pPr>
            <w:r w:rsidRPr="00C777A5">
              <w:rPr>
                <w:rFonts w:ascii="Times New Roman" w:hAnsi="Times New Roman" w:cs="Times New Roman"/>
              </w:rPr>
              <w:t xml:space="preserve">Lydia </w:t>
            </w:r>
            <w:proofErr w:type="spellStart"/>
            <w:r w:rsidRPr="00C777A5">
              <w:rPr>
                <w:rFonts w:ascii="Times New Roman" w:hAnsi="Times New Roman" w:cs="Times New Roman"/>
              </w:rPr>
              <w:t>Bazzano</w:t>
            </w:r>
            <w:proofErr w:type="spellEnd"/>
          </w:p>
        </w:tc>
      </w:tr>
      <w:tr w:rsidR="006D6A8F" w:rsidTr="00ED5DE3">
        <w:trPr>
          <w:trHeight w:val="765"/>
        </w:trPr>
        <w:tc>
          <w:tcPr>
            <w:tcW w:w="3618" w:type="dxa"/>
          </w:tcPr>
          <w:p w:rsidR="006D6A8F" w:rsidRPr="00C777A5" w:rsidRDefault="006D6A8F" w:rsidP="006D6A8F">
            <w:pPr>
              <w:jc w:val="both"/>
              <w:rPr>
                <w:rFonts w:ascii="Times New Roman" w:hAnsi="Times New Roman" w:cs="Times New Roman"/>
              </w:rPr>
            </w:pPr>
            <w:r w:rsidRPr="00C777A5">
              <w:rPr>
                <w:rFonts w:ascii="Times New Roman" w:hAnsi="Times New Roman" w:cs="Times New Roman"/>
                <w:b/>
              </w:rPr>
              <w:t>Suggested Co-authors</w:t>
            </w:r>
          </w:p>
          <w:p w:rsidR="006D6A8F" w:rsidRDefault="006D6A8F" w:rsidP="006D6A8F">
            <w:pPr>
              <w:jc w:val="both"/>
            </w:pPr>
          </w:p>
        </w:tc>
        <w:tc>
          <w:tcPr>
            <w:tcW w:w="5958" w:type="dxa"/>
          </w:tcPr>
          <w:p w:rsidR="006D6A8F" w:rsidRDefault="00287020" w:rsidP="00ED5DE3">
            <w:pPr>
              <w:jc w:val="both"/>
            </w:pPr>
            <w:r>
              <w:rPr>
                <w:rFonts w:ascii="Times New Roman" w:hAnsi="Times New Roman" w:cs="Times New Roman"/>
              </w:rPr>
              <w:t xml:space="preserve">(TBD) </w:t>
            </w:r>
            <w:r w:rsidR="00ED5DE3">
              <w:rPr>
                <w:rFonts w:ascii="Times New Roman" w:hAnsi="Times New Roman" w:cs="Times New Roman"/>
              </w:rPr>
              <w:t xml:space="preserve">Tian Hu, </w:t>
            </w:r>
            <w:r>
              <w:rPr>
                <w:rFonts w:ascii="Times New Roman" w:hAnsi="Times New Roman" w:cs="Times New Roman"/>
              </w:rPr>
              <w:t>Wei Chen</w:t>
            </w:r>
            <w:r w:rsidR="00ED5DE3">
              <w:rPr>
                <w:rFonts w:ascii="Times New Roman" w:hAnsi="Times New Roman" w:cs="Times New Roman"/>
              </w:rPr>
              <w:t xml:space="preserve">, </w:t>
            </w:r>
            <w:r w:rsidR="006D6A8F" w:rsidRPr="00C777A5">
              <w:rPr>
                <w:rFonts w:ascii="Times New Roman" w:hAnsi="Times New Roman" w:cs="Times New Roman"/>
              </w:rPr>
              <w:t xml:space="preserve">Suzie </w:t>
            </w:r>
            <w:proofErr w:type="spellStart"/>
            <w:r w:rsidR="006D6A8F" w:rsidRPr="00C777A5">
              <w:rPr>
                <w:rFonts w:ascii="Times New Roman" w:hAnsi="Times New Roman" w:cs="Times New Roman"/>
              </w:rPr>
              <w:t>Bertisch</w:t>
            </w:r>
            <w:proofErr w:type="spellEnd"/>
            <w:r w:rsidR="006D6A8F" w:rsidRPr="00C777A5">
              <w:rPr>
                <w:rFonts w:ascii="Times New Roman" w:hAnsi="Times New Roman" w:cs="Times New Roman"/>
              </w:rPr>
              <w:t xml:space="preserve">, Lu Yao, </w:t>
            </w:r>
            <w:r w:rsidR="00ED5DE3">
              <w:rPr>
                <w:rFonts w:ascii="Times New Roman" w:hAnsi="Times New Roman" w:cs="Times New Roman"/>
              </w:rPr>
              <w:t xml:space="preserve">, Emily </w:t>
            </w:r>
            <w:proofErr w:type="spellStart"/>
            <w:r w:rsidR="00ED5DE3">
              <w:rPr>
                <w:rFonts w:ascii="Times New Roman" w:hAnsi="Times New Roman" w:cs="Times New Roman"/>
              </w:rPr>
              <w:t>Harville</w:t>
            </w:r>
            <w:proofErr w:type="spellEnd"/>
            <w:r w:rsidR="00ED5DE3">
              <w:rPr>
                <w:rFonts w:ascii="Times New Roman" w:hAnsi="Times New Roman" w:cs="Times New Roman"/>
              </w:rPr>
              <w:t xml:space="preserve">, </w:t>
            </w:r>
            <w:proofErr w:type="spellStart"/>
            <w:r w:rsidR="00ED5DE3">
              <w:rPr>
                <w:rFonts w:ascii="Times New Roman" w:hAnsi="Times New Roman" w:cs="Times New Roman"/>
              </w:rPr>
              <w:t>Shengxu</w:t>
            </w:r>
            <w:proofErr w:type="spellEnd"/>
            <w:r w:rsidR="00ED5DE3">
              <w:rPr>
                <w:rFonts w:ascii="Times New Roman" w:hAnsi="Times New Roman" w:cs="Times New Roman"/>
              </w:rPr>
              <w:t xml:space="preserve"> Li, </w:t>
            </w:r>
            <w:r w:rsidRPr="00C777A5">
              <w:rPr>
                <w:rFonts w:ascii="Times New Roman" w:hAnsi="Times New Roman" w:cs="Times New Roman"/>
              </w:rPr>
              <w:t xml:space="preserve">Jeanette </w:t>
            </w:r>
            <w:proofErr w:type="spellStart"/>
            <w:r w:rsidRPr="00C777A5">
              <w:rPr>
                <w:rFonts w:ascii="Times New Roman" w:hAnsi="Times New Roman" w:cs="Times New Roman"/>
              </w:rPr>
              <w:t>Gustat</w:t>
            </w:r>
            <w:proofErr w:type="spellEnd"/>
            <w:r w:rsidRPr="00C777A5">
              <w:rPr>
                <w:rFonts w:ascii="Times New Roman" w:hAnsi="Times New Roman" w:cs="Times New Roman"/>
              </w:rPr>
              <w:t xml:space="preserve">, </w:t>
            </w:r>
            <w:r w:rsidR="00ED5DE3" w:rsidRPr="00C777A5">
              <w:rPr>
                <w:rFonts w:ascii="Times New Roman" w:hAnsi="Times New Roman" w:cs="Times New Roman"/>
              </w:rPr>
              <w:t>Larry Webber</w:t>
            </w:r>
            <w:r w:rsidR="00ED5DE3">
              <w:rPr>
                <w:rFonts w:ascii="Times New Roman" w:hAnsi="Times New Roman" w:cs="Times New Roman"/>
              </w:rPr>
              <w:t xml:space="preserve">, </w:t>
            </w:r>
            <w:r w:rsidR="004F4616">
              <w:rPr>
                <w:rFonts w:ascii="Times New Roman" w:hAnsi="Times New Roman" w:cs="Times New Roman"/>
              </w:rPr>
              <w:t>others welcome</w:t>
            </w:r>
            <w:r w:rsidR="00ED5DE3">
              <w:rPr>
                <w:rFonts w:ascii="Times New Roman" w:hAnsi="Times New Roman" w:cs="Times New Roman"/>
              </w:rPr>
              <w:t xml:space="preserve"> </w:t>
            </w:r>
          </w:p>
        </w:tc>
      </w:tr>
    </w:tbl>
    <w:p w:rsidR="00C97FA0" w:rsidRDefault="00C97FA0" w:rsidP="006D6A8F">
      <w:pPr>
        <w:jc w:val="both"/>
        <w:rPr>
          <w:b/>
        </w:rPr>
      </w:pPr>
    </w:p>
    <w:p w:rsidR="006D6A8F" w:rsidRPr="00C777A5" w:rsidRDefault="006D6A8F" w:rsidP="006D6A8F">
      <w:pPr>
        <w:jc w:val="both"/>
        <w:rPr>
          <w:b/>
        </w:rPr>
      </w:pPr>
      <w:r w:rsidRPr="00C777A5">
        <w:rPr>
          <w:b/>
        </w:rPr>
        <w:t xml:space="preserve">Outline of Manuscript: </w:t>
      </w:r>
    </w:p>
    <w:p w:rsidR="00A105B5" w:rsidRPr="00C777A5" w:rsidRDefault="00A105B5" w:rsidP="00EA4AA1">
      <w:pPr>
        <w:jc w:val="both"/>
      </w:pPr>
    </w:p>
    <w:p w:rsidR="0042646A" w:rsidRPr="00C777A5" w:rsidRDefault="0042646A" w:rsidP="00A105B5">
      <w:pPr>
        <w:numPr>
          <w:ilvl w:val="0"/>
          <w:numId w:val="2"/>
        </w:numPr>
        <w:ind w:left="360" w:hanging="360"/>
        <w:jc w:val="both"/>
        <w:rPr>
          <w:b/>
        </w:rPr>
      </w:pPr>
      <w:r w:rsidRPr="00C777A5">
        <w:rPr>
          <w:b/>
        </w:rPr>
        <w:t>Introduction</w:t>
      </w:r>
    </w:p>
    <w:p w:rsidR="00B33DF7" w:rsidRPr="00C777A5" w:rsidRDefault="00B33DF7" w:rsidP="00B33DF7">
      <w:pPr>
        <w:ind w:left="360"/>
        <w:jc w:val="both"/>
        <w:rPr>
          <w:b/>
        </w:rPr>
      </w:pPr>
    </w:p>
    <w:p w:rsidR="00CB5D92" w:rsidRDefault="00540B0D" w:rsidP="00F33261">
      <w:pPr>
        <w:ind w:left="360"/>
      </w:pPr>
      <w:r w:rsidRPr="00C777A5">
        <w:rPr>
          <w:shd w:val="clear" w:color="auto" w:fill="FFFFFF"/>
        </w:rPr>
        <w:t>Obstructive sleep apnea (OSA)</w:t>
      </w:r>
      <w:r w:rsidR="00674C36">
        <w:rPr>
          <w:shd w:val="clear" w:color="auto" w:fill="FFFFFF"/>
        </w:rPr>
        <w:t xml:space="preserve"> </w:t>
      </w:r>
      <w:r w:rsidR="00056C80">
        <w:rPr>
          <w:shd w:val="clear" w:color="auto" w:fill="FFFFFF"/>
        </w:rPr>
        <w:t xml:space="preserve">affects 24% </w:t>
      </w:r>
      <w:r w:rsidR="00ED5DE3">
        <w:rPr>
          <w:shd w:val="clear" w:color="auto" w:fill="FFFFFF"/>
        </w:rPr>
        <w:t xml:space="preserve">of middle-aged men </w:t>
      </w:r>
      <w:r w:rsidR="00056C80">
        <w:rPr>
          <w:shd w:val="clear" w:color="auto" w:fill="FFFFFF"/>
        </w:rPr>
        <w:t xml:space="preserve">and 9% of </w:t>
      </w:r>
      <w:r w:rsidR="00ED5DE3">
        <w:rPr>
          <w:shd w:val="clear" w:color="auto" w:fill="FFFFFF"/>
        </w:rPr>
        <w:t xml:space="preserve">middle-aged women </w:t>
      </w:r>
      <w:r w:rsidR="00056C80">
        <w:rPr>
          <w:shd w:val="clear" w:color="auto" w:fill="FFFFFF"/>
        </w:rPr>
        <w:t>the general</w:t>
      </w:r>
      <w:r w:rsidR="00444BBE">
        <w:rPr>
          <w:shd w:val="clear" w:color="auto" w:fill="FFFFFF"/>
        </w:rPr>
        <w:t xml:space="preserve"> population, and the prevalence of OSA has increased substantially over the past several decades</w:t>
      </w:r>
      <w:r w:rsidR="00ED5DE3">
        <w:rPr>
          <w:shd w:val="clear" w:color="auto" w:fill="FFFFFF"/>
        </w:rPr>
        <w:t>. I</w:t>
      </w:r>
      <w:r w:rsidR="00056C80" w:rsidRPr="00056C80">
        <w:rPr>
          <w:shd w:val="clear" w:color="auto" w:fill="FFFFFF"/>
        </w:rPr>
        <w:t>ntermittent hypoxemia and sleep disruption</w:t>
      </w:r>
      <w:r w:rsidR="00ED5DE3">
        <w:rPr>
          <w:shd w:val="clear" w:color="auto" w:fill="FFFFFF"/>
        </w:rPr>
        <w:t xml:space="preserve"> are the hallmarks of OSA</w:t>
      </w:r>
      <w:r w:rsidR="00056C80" w:rsidRPr="00056C80">
        <w:rPr>
          <w:shd w:val="clear" w:color="auto" w:fill="FFFFFF"/>
        </w:rPr>
        <w:t xml:space="preserve">, which in turn are associated with an increased risk for </w:t>
      </w:r>
      <w:proofErr w:type="gramStart"/>
      <w:r w:rsidR="00056C80" w:rsidRPr="00056C80">
        <w:rPr>
          <w:shd w:val="clear" w:color="auto" w:fill="FFFFFF"/>
        </w:rPr>
        <w:t>cardiovascular</w:t>
      </w:r>
      <w:proofErr w:type="gramEnd"/>
      <w:r w:rsidR="00056C80" w:rsidRPr="00056C80">
        <w:rPr>
          <w:shd w:val="clear" w:color="auto" w:fill="FFFFFF"/>
        </w:rPr>
        <w:t xml:space="preserve"> </w:t>
      </w:r>
      <w:r w:rsidR="003638F1">
        <w:rPr>
          <w:shd w:val="clear" w:color="auto" w:fill="FFFFFF"/>
        </w:rPr>
        <w:t>and neurocognitive</w:t>
      </w:r>
      <w:r w:rsidR="003638F1" w:rsidRPr="00056C80">
        <w:rPr>
          <w:shd w:val="clear" w:color="auto" w:fill="FFFFFF"/>
        </w:rPr>
        <w:t xml:space="preserve"> </w:t>
      </w:r>
      <w:r w:rsidR="00ED5DE3">
        <w:rPr>
          <w:shd w:val="clear" w:color="auto" w:fill="FFFFFF"/>
        </w:rPr>
        <w:t>morbidity and mortality</w:t>
      </w:r>
      <w:r w:rsidR="00056C80" w:rsidRPr="00056C80">
        <w:rPr>
          <w:shd w:val="clear" w:color="auto" w:fill="FFFFFF"/>
        </w:rPr>
        <w:t xml:space="preserve">. </w:t>
      </w:r>
      <w:r w:rsidR="00BB6CED">
        <w:t>Compelling evidence has suggested that o</w:t>
      </w:r>
      <w:r w:rsidRPr="00C777A5">
        <w:t xml:space="preserve">besity </w:t>
      </w:r>
      <w:r w:rsidR="00BB6CED">
        <w:t xml:space="preserve">in adulthood </w:t>
      </w:r>
      <w:r w:rsidR="00205AE9">
        <w:t xml:space="preserve">is </w:t>
      </w:r>
      <w:r w:rsidRPr="00C777A5">
        <w:t>a</w:t>
      </w:r>
      <w:r w:rsidR="004A3E01" w:rsidRPr="00C777A5">
        <w:t>n important</w:t>
      </w:r>
      <w:r w:rsidRPr="00C777A5">
        <w:t xml:space="preserve"> risk factor </w:t>
      </w:r>
      <w:r w:rsidR="004A3E01" w:rsidRPr="00C777A5">
        <w:t>for</w:t>
      </w:r>
      <w:r w:rsidRPr="00C777A5">
        <w:t xml:space="preserve"> OSA</w:t>
      </w:r>
      <w:r w:rsidR="00205AE9">
        <w:t>.</w:t>
      </w:r>
      <w:r w:rsidR="00615EBB">
        <w:t xml:space="preserve"> </w:t>
      </w:r>
      <w:r w:rsidR="00E10020">
        <w:t xml:space="preserve">However, </w:t>
      </w:r>
      <w:r w:rsidR="00444BBE">
        <w:t>whether childhood obesity has long-term effects</w:t>
      </w:r>
      <w:r w:rsidR="00BB6CED">
        <w:t xml:space="preserve"> </w:t>
      </w:r>
      <w:r w:rsidR="00740632">
        <w:t>on</w:t>
      </w:r>
      <w:r w:rsidR="00BB6CED">
        <w:t xml:space="preserve"> the development of OSA</w:t>
      </w:r>
      <w:r w:rsidR="00444BBE">
        <w:t xml:space="preserve"> at mid-life or later</w:t>
      </w:r>
      <w:r w:rsidR="00BB6CED">
        <w:t xml:space="preserve"> is uncertain. </w:t>
      </w:r>
      <w:r w:rsidR="003C0B81">
        <w:t xml:space="preserve">Currently, 15% of American children are overweight. This increase in pediatric obesity </w:t>
      </w:r>
      <w:r w:rsidR="00740632">
        <w:t>has been</w:t>
      </w:r>
      <w:r w:rsidR="003C0B81">
        <w:t xml:space="preserve"> associated with the earlier </w:t>
      </w:r>
      <w:r w:rsidR="00740632">
        <w:t>development</w:t>
      </w:r>
      <w:r w:rsidR="003C0B81">
        <w:t xml:space="preserve"> of ins</w:t>
      </w:r>
      <w:r w:rsidR="00740632">
        <w:t xml:space="preserve">ulin resistance, </w:t>
      </w:r>
      <w:r w:rsidR="003C0B81">
        <w:t xml:space="preserve">diabetes, hypertension, and dyslipidemia. The appearance of these cardio-metabolic risk factors in youth </w:t>
      </w:r>
      <w:r w:rsidR="00740632">
        <w:t>may present important public health consequences in adulthood</w:t>
      </w:r>
      <w:r w:rsidR="003C0B81">
        <w:t>.</w:t>
      </w:r>
      <w:r w:rsidR="00740632">
        <w:t xml:space="preserve"> </w:t>
      </w:r>
      <w:r w:rsidR="009F3D8D" w:rsidRPr="0089237B">
        <w:t xml:space="preserve">We </w:t>
      </w:r>
      <w:r w:rsidR="009F3D8D">
        <w:t xml:space="preserve">will </w:t>
      </w:r>
      <w:r w:rsidR="009F3D8D" w:rsidRPr="0089237B">
        <w:t>prospec</w:t>
      </w:r>
      <w:r w:rsidR="00740632">
        <w:t>tively examine the association</w:t>
      </w:r>
      <w:r w:rsidR="009F3D8D">
        <w:t xml:space="preserve"> of obesity patterns, including </w:t>
      </w:r>
      <w:r w:rsidR="009F3D8D" w:rsidRPr="003F112B">
        <w:t>overweight</w:t>
      </w:r>
      <w:r w:rsidR="009F3D8D">
        <w:t xml:space="preserve"> status, duration</w:t>
      </w:r>
      <w:r w:rsidR="009F3D8D" w:rsidRPr="003F112B">
        <w:t xml:space="preserve"> </w:t>
      </w:r>
      <w:r w:rsidR="009F3D8D">
        <w:t xml:space="preserve">and onset age </w:t>
      </w:r>
      <w:r w:rsidR="009F3D8D" w:rsidRPr="003F112B">
        <w:t>in childhood</w:t>
      </w:r>
      <w:r w:rsidR="009F3D8D">
        <w:t>, with subsequent</w:t>
      </w:r>
      <w:r w:rsidR="00444BBE">
        <w:t xml:space="preserve"> risk of OSA in middle-</w:t>
      </w:r>
      <w:r w:rsidR="009F3D8D" w:rsidRPr="0089237B">
        <w:t>age using data from the Bogalusa Heart Study.</w:t>
      </w:r>
    </w:p>
    <w:p w:rsidR="009F3D8D" w:rsidRPr="00C777A5" w:rsidRDefault="009F3D8D" w:rsidP="008B57E1">
      <w:pPr>
        <w:jc w:val="both"/>
      </w:pPr>
    </w:p>
    <w:p w:rsidR="007A43B0" w:rsidRDefault="00A105B5" w:rsidP="007A43B0">
      <w:pPr>
        <w:numPr>
          <w:ilvl w:val="0"/>
          <w:numId w:val="2"/>
        </w:numPr>
        <w:ind w:left="360" w:hanging="360"/>
        <w:jc w:val="both"/>
        <w:rPr>
          <w:b/>
        </w:rPr>
      </w:pPr>
      <w:r w:rsidRPr="00C777A5">
        <w:rPr>
          <w:b/>
        </w:rPr>
        <w:t>Methods</w:t>
      </w:r>
      <w:bookmarkStart w:id="1" w:name="OLE_LINK22"/>
      <w:bookmarkStart w:id="2" w:name="OLE_LINK23"/>
    </w:p>
    <w:p w:rsidR="00A33B60" w:rsidRDefault="00A33B60" w:rsidP="00A33B60">
      <w:pPr>
        <w:ind w:left="360"/>
        <w:jc w:val="both"/>
        <w:rPr>
          <w:b/>
        </w:rPr>
      </w:pPr>
    </w:p>
    <w:p w:rsidR="00620851" w:rsidRPr="00ED3C2B" w:rsidRDefault="007A43B0" w:rsidP="00ED3C2B">
      <w:pPr>
        <w:pStyle w:val="ListParagraph"/>
        <w:numPr>
          <w:ilvl w:val="0"/>
          <w:numId w:val="5"/>
        </w:numPr>
        <w:ind w:left="360"/>
        <w:jc w:val="both"/>
        <w:rPr>
          <w:b/>
        </w:rPr>
      </w:pPr>
      <w:r w:rsidRPr="00A13A5B">
        <w:rPr>
          <w:b/>
        </w:rPr>
        <w:t>Study Population</w:t>
      </w:r>
      <w:r w:rsidRPr="00C777A5">
        <w:t xml:space="preserve"> </w:t>
      </w:r>
    </w:p>
    <w:p w:rsidR="007A43B0" w:rsidRPr="007A43B0" w:rsidRDefault="007A43B0" w:rsidP="00A33B60">
      <w:pPr>
        <w:pStyle w:val="ListParagraph"/>
        <w:ind w:left="360"/>
        <w:jc w:val="both"/>
        <w:rPr>
          <w:b/>
        </w:rPr>
      </w:pPr>
      <w:r w:rsidRPr="00C777A5">
        <w:t xml:space="preserve">Individuals </w:t>
      </w:r>
      <w:r w:rsidR="003C0B81">
        <w:t xml:space="preserve">who have </w:t>
      </w:r>
      <w:r w:rsidRPr="00C777A5">
        <w:t>measures of adiposity a</w:t>
      </w:r>
      <w:r w:rsidR="00970553">
        <w:t>t least two times in child</w:t>
      </w:r>
      <w:r w:rsidRPr="00C777A5">
        <w:t>hood</w:t>
      </w:r>
      <w:bookmarkEnd w:id="1"/>
      <w:bookmarkEnd w:id="2"/>
      <w:r w:rsidRPr="00C777A5">
        <w:t xml:space="preserve"> and </w:t>
      </w:r>
      <w:r w:rsidR="003C0B81">
        <w:t>who completed examination</w:t>
      </w:r>
      <w:r w:rsidRPr="00C777A5">
        <w:t xml:space="preserve"> </w:t>
      </w:r>
      <w:r w:rsidR="003C0B81">
        <w:t xml:space="preserve">and responded to the Berlin Questionnaire assessment of OSA risk </w:t>
      </w:r>
      <w:proofErr w:type="gramStart"/>
      <w:r w:rsidR="003C0B81">
        <w:t xml:space="preserve">in </w:t>
      </w:r>
      <w:r w:rsidRPr="00C777A5">
        <w:t xml:space="preserve"> 2010</w:t>
      </w:r>
      <w:proofErr w:type="gramEnd"/>
      <w:r w:rsidRPr="00C777A5">
        <w:t xml:space="preserve">. </w:t>
      </w:r>
    </w:p>
    <w:p w:rsidR="00A105B5" w:rsidRPr="00C777A5" w:rsidRDefault="00A105B5" w:rsidP="00A13A5B">
      <w:pPr>
        <w:jc w:val="both"/>
      </w:pPr>
    </w:p>
    <w:p w:rsidR="00A105B5" w:rsidRPr="00ED3C2B" w:rsidRDefault="00A105B5" w:rsidP="007A43B0">
      <w:pPr>
        <w:pStyle w:val="ListParagraph"/>
        <w:numPr>
          <w:ilvl w:val="0"/>
          <w:numId w:val="5"/>
        </w:numPr>
        <w:tabs>
          <w:tab w:val="left" w:pos="360"/>
        </w:tabs>
        <w:ind w:left="360"/>
        <w:jc w:val="both"/>
        <w:rPr>
          <w:b/>
        </w:rPr>
      </w:pPr>
      <w:r w:rsidRPr="00A13A5B">
        <w:rPr>
          <w:b/>
        </w:rPr>
        <w:t>Data Required</w:t>
      </w:r>
    </w:p>
    <w:p w:rsidR="00ED3C2B" w:rsidRDefault="00ED3C2B" w:rsidP="00ED3C2B">
      <w:pPr>
        <w:ind w:left="360"/>
      </w:pPr>
      <w:r w:rsidRPr="00ED3C2B">
        <w:rPr>
          <w:u w:val="single"/>
        </w:rPr>
        <w:t>Childhood overweight</w:t>
      </w:r>
      <w:r>
        <w:t xml:space="preserve">: </w:t>
      </w:r>
      <w:r w:rsidR="00524448">
        <w:t>Body weight</w:t>
      </w:r>
      <w:r w:rsidR="00241C14">
        <w:t xml:space="preserve"> and</w:t>
      </w:r>
      <w:r w:rsidR="00D36C83" w:rsidRPr="00C777A5">
        <w:t xml:space="preserve"> </w:t>
      </w:r>
      <w:r w:rsidR="00524448">
        <w:t>height</w:t>
      </w:r>
      <w:r w:rsidR="00241C14">
        <w:t xml:space="preserve"> </w:t>
      </w:r>
      <w:r w:rsidR="003C0B81">
        <w:rPr>
          <w:rFonts w:eastAsia="Arial Unicode MS"/>
          <w:shd w:val="clear" w:color="auto" w:fill="FFFFFF"/>
        </w:rPr>
        <w:t>at each examination</w:t>
      </w:r>
      <w:r w:rsidR="001764E6" w:rsidRPr="00C777A5">
        <w:rPr>
          <w:rFonts w:eastAsia="Arial Unicode MS"/>
          <w:shd w:val="clear" w:color="auto" w:fill="FFFFFF"/>
        </w:rPr>
        <w:t xml:space="preserve"> </w:t>
      </w:r>
      <w:r w:rsidR="003C0B81">
        <w:rPr>
          <w:rFonts w:eastAsia="Arial Unicode MS"/>
          <w:shd w:val="clear" w:color="auto" w:fill="FFFFFF"/>
        </w:rPr>
        <w:t>available in childhood</w:t>
      </w:r>
      <w:r w:rsidR="00D36C83" w:rsidRPr="00C777A5">
        <w:rPr>
          <w:rFonts w:eastAsia="Arial Unicode MS"/>
          <w:shd w:val="clear" w:color="auto" w:fill="FFFFFF"/>
        </w:rPr>
        <w:t>. BMI</w:t>
      </w:r>
      <w:r w:rsidR="00241C14">
        <w:rPr>
          <w:rFonts w:eastAsia="Arial Unicode MS"/>
          <w:shd w:val="clear" w:color="auto" w:fill="FFFFFF"/>
        </w:rPr>
        <w:t xml:space="preserve"> </w:t>
      </w:r>
      <w:r w:rsidR="00D36C83" w:rsidRPr="00C777A5">
        <w:rPr>
          <w:rFonts w:eastAsia="Arial Unicode MS"/>
          <w:shd w:val="clear" w:color="auto" w:fill="FFFFFF"/>
        </w:rPr>
        <w:t>will be calculated</w:t>
      </w:r>
      <w:r w:rsidR="00740632">
        <w:rPr>
          <w:rFonts w:eastAsia="Arial Unicode MS"/>
          <w:shd w:val="clear" w:color="auto" w:fill="FFFFFF"/>
        </w:rPr>
        <w:t xml:space="preserve"> and compared to </w:t>
      </w:r>
      <w:r w:rsidR="00F33261">
        <w:rPr>
          <w:rFonts w:eastAsia="Arial Unicode MS"/>
          <w:shd w:val="clear" w:color="auto" w:fill="FFFFFF"/>
        </w:rPr>
        <w:t>appropriate norms to establish childhood overweight status.</w:t>
      </w:r>
    </w:p>
    <w:p w:rsidR="008E3C81" w:rsidRPr="00ED3C2B" w:rsidRDefault="00A13A5B" w:rsidP="00ED3C2B">
      <w:pPr>
        <w:ind w:left="360"/>
      </w:pPr>
      <w:r w:rsidRPr="00ED3C2B">
        <w:rPr>
          <w:rFonts w:eastAsia="Arial Unicode MS"/>
          <w:u w:val="single"/>
          <w:shd w:val="clear" w:color="auto" w:fill="FFFFFF"/>
        </w:rPr>
        <w:lastRenderedPageBreak/>
        <w:t>Sleep-related outcomes</w:t>
      </w:r>
      <w:r w:rsidR="00ED3C2B">
        <w:rPr>
          <w:rFonts w:eastAsia="Arial Unicode MS"/>
          <w:shd w:val="clear" w:color="auto" w:fill="FFFFFF"/>
        </w:rPr>
        <w:t xml:space="preserve">: </w:t>
      </w:r>
      <w:r w:rsidR="00620851">
        <w:rPr>
          <w:rFonts w:eastAsia="Arial Unicode MS"/>
          <w:shd w:val="clear" w:color="auto" w:fill="FFFFFF"/>
        </w:rPr>
        <w:t xml:space="preserve">High-risk </w:t>
      </w:r>
      <w:r w:rsidR="003C0B81">
        <w:rPr>
          <w:rFonts w:eastAsia="Arial Unicode MS"/>
          <w:shd w:val="clear" w:color="auto" w:fill="FFFFFF"/>
        </w:rPr>
        <w:t xml:space="preserve">for </w:t>
      </w:r>
      <w:r w:rsidR="00620851">
        <w:rPr>
          <w:rFonts w:eastAsia="Arial Unicode MS"/>
          <w:shd w:val="clear" w:color="auto" w:fill="FFFFFF"/>
        </w:rPr>
        <w:t>OSA</w:t>
      </w:r>
      <w:r w:rsidR="003C0B81">
        <w:rPr>
          <w:rFonts w:eastAsia="Arial Unicode MS"/>
          <w:shd w:val="clear" w:color="auto" w:fill="FFFFFF"/>
        </w:rPr>
        <w:t xml:space="preserve"> by </w:t>
      </w:r>
      <w:r w:rsidR="003C0B81" w:rsidRPr="00C777A5">
        <w:t xml:space="preserve">Berlin Questionnaire </w:t>
      </w:r>
      <w:r w:rsidR="003C0B81">
        <w:t xml:space="preserve">score </w:t>
      </w:r>
      <w:r w:rsidR="003C0B81" w:rsidRPr="00C777A5">
        <w:t>in 2010</w:t>
      </w:r>
      <w:r w:rsidR="003C0B81">
        <w:t xml:space="preserve"> </w:t>
      </w:r>
      <w:r w:rsidR="003C0B81">
        <w:rPr>
          <w:rFonts w:eastAsia="Arial Unicode MS"/>
          <w:shd w:val="clear" w:color="auto" w:fill="FFFFFF"/>
        </w:rPr>
        <w:t>will be</w:t>
      </w:r>
      <w:r w:rsidR="00630B29">
        <w:rPr>
          <w:rFonts w:eastAsia="Arial Unicode MS"/>
          <w:shd w:val="clear" w:color="auto" w:fill="FFFFFF"/>
        </w:rPr>
        <w:t xml:space="preserve"> the primary outcome</w:t>
      </w:r>
      <w:r w:rsidR="003C0B81">
        <w:rPr>
          <w:rFonts w:eastAsia="Arial Unicode MS"/>
          <w:shd w:val="clear" w:color="auto" w:fill="FFFFFF"/>
        </w:rPr>
        <w:t>. Secondary outcomes include</w:t>
      </w:r>
      <w:r w:rsidR="00620851">
        <w:rPr>
          <w:rFonts w:eastAsia="Arial Unicode MS"/>
          <w:shd w:val="clear" w:color="auto" w:fill="FFFFFF"/>
        </w:rPr>
        <w:t xml:space="preserve"> persistent snoring </w:t>
      </w:r>
      <w:r w:rsidR="00C939D6" w:rsidRPr="00C777A5">
        <w:rPr>
          <w:rFonts w:eastAsia="Arial Unicode MS"/>
          <w:shd w:val="clear" w:color="auto" w:fill="FFFFFF"/>
        </w:rPr>
        <w:t>and persistent daytime sleepiness</w:t>
      </w:r>
      <w:r w:rsidR="003C0B81">
        <w:rPr>
          <w:rFonts w:eastAsia="Arial Unicode MS"/>
          <w:shd w:val="clear" w:color="auto" w:fill="FFFFFF"/>
        </w:rPr>
        <w:t xml:space="preserve"> as reported on the Berlin Questionnaire.</w:t>
      </w:r>
    </w:p>
    <w:p w:rsidR="006F7413" w:rsidRDefault="003E6BB3" w:rsidP="00ED3C2B">
      <w:pPr>
        <w:ind w:left="360"/>
      </w:pPr>
      <w:r w:rsidRPr="00ED3C2B">
        <w:rPr>
          <w:u w:val="single"/>
        </w:rPr>
        <w:t>Co</w:t>
      </w:r>
      <w:r w:rsidR="00A13A5B" w:rsidRPr="00ED3C2B">
        <w:rPr>
          <w:u w:val="single"/>
        </w:rPr>
        <w:t>variates</w:t>
      </w:r>
      <w:r w:rsidR="00C939D6" w:rsidRPr="00C777A5">
        <w:t xml:space="preserve"> </w:t>
      </w:r>
      <w:r w:rsidR="00ED3C2B">
        <w:t>:</w:t>
      </w:r>
      <w:r w:rsidR="00F33261">
        <w:t xml:space="preserve">Race, gender, </w:t>
      </w:r>
      <w:proofErr w:type="spellStart"/>
      <w:r w:rsidR="00F33261">
        <w:t>eucational</w:t>
      </w:r>
      <w:proofErr w:type="spellEnd"/>
      <w:r w:rsidR="00F33261">
        <w:t xml:space="preserve"> level (&lt;high school</w:t>
      </w:r>
      <w:r w:rsidRPr="00C777A5">
        <w:t>/</w:t>
      </w:r>
      <w:r w:rsidR="00F33261">
        <w:t>≥</w:t>
      </w:r>
      <w:r w:rsidR="008E3C81" w:rsidRPr="00C777A5">
        <w:t>high school</w:t>
      </w:r>
      <w:r w:rsidRPr="00C777A5">
        <w:t>)</w:t>
      </w:r>
      <w:r w:rsidR="00BC3C9F">
        <w:t>,</w:t>
      </w:r>
      <w:r w:rsidRPr="00C777A5">
        <w:t xml:space="preserve"> </w:t>
      </w:r>
      <w:r w:rsidR="00BC3C9F">
        <w:t>s</w:t>
      </w:r>
      <w:r w:rsidR="008E3C81" w:rsidRPr="00C777A5">
        <w:t>elf-reported</w:t>
      </w:r>
      <w:r w:rsidRPr="00C777A5">
        <w:t xml:space="preserve"> current smoking status (yes/no</w:t>
      </w:r>
      <w:r w:rsidR="00BC3C9F">
        <w:t xml:space="preserve">), </w:t>
      </w:r>
      <w:r w:rsidRPr="00C777A5">
        <w:t>s</w:t>
      </w:r>
      <w:r w:rsidR="008E3C81" w:rsidRPr="00C777A5">
        <w:t>elf-reported regular alcohol drinking (yes/no)</w:t>
      </w:r>
      <w:r w:rsidR="008D367B">
        <w:t xml:space="preserve"> and</w:t>
      </w:r>
      <w:r w:rsidRPr="00C777A5">
        <w:t xml:space="preserve"> s</w:t>
      </w:r>
      <w:r w:rsidR="008E3C81" w:rsidRPr="00C777A5">
        <w:t>elf-reported leisure-time</w:t>
      </w:r>
      <w:r w:rsidRPr="00C777A5">
        <w:t xml:space="preserve"> physical activity </w:t>
      </w:r>
      <w:r w:rsidR="008E3C81" w:rsidRPr="00C777A5">
        <w:t>on a scale of 1 (very inactive) to 5 (very active)</w:t>
      </w:r>
      <w:r w:rsidR="003C0465">
        <w:t xml:space="preserve"> </w:t>
      </w:r>
      <w:r w:rsidR="00871219">
        <w:t>obtained at each survey</w:t>
      </w:r>
      <w:r w:rsidR="003C0B81">
        <w:t xml:space="preserve">. </w:t>
      </w:r>
    </w:p>
    <w:p w:rsidR="00ED3C2B" w:rsidRPr="00C777A5" w:rsidRDefault="00ED3C2B" w:rsidP="00ED3C2B">
      <w:pPr>
        <w:ind w:left="360"/>
      </w:pPr>
    </w:p>
    <w:p w:rsidR="003775B3" w:rsidRPr="00A13A5B" w:rsidRDefault="003775B3" w:rsidP="00A13A5B">
      <w:pPr>
        <w:pStyle w:val="ListParagraph"/>
        <w:numPr>
          <w:ilvl w:val="0"/>
          <w:numId w:val="5"/>
        </w:numPr>
        <w:ind w:left="360"/>
        <w:jc w:val="both"/>
        <w:rPr>
          <w:b/>
        </w:rPr>
      </w:pPr>
      <w:r w:rsidRPr="00A13A5B">
        <w:rPr>
          <w:b/>
        </w:rPr>
        <w:t>General Analysis Plan</w:t>
      </w:r>
    </w:p>
    <w:p w:rsidR="003775B3" w:rsidRPr="00C777A5" w:rsidRDefault="003775B3" w:rsidP="003775B3">
      <w:pPr>
        <w:ind w:left="360"/>
        <w:jc w:val="both"/>
        <w:rPr>
          <w:b/>
        </w:rPr>
      </w:pPr>
    </w:p>
    <w:p w:rsidR="00E461EE" w:rsidRDefault="00740632" w:rsidP="00ED3C2B">
      <w:pPr>
        <w:tabs>
          <w:tab w:val="left" w:pos="180"/>
        </w:tabs>
        <w:spacing w:afterLines="120" w:after="288"/>
        <w:ind w:left="360"/>
      </w:pPr>
      <w:r>
        <w:t>We will examine overweight status</w:t>
      </w:r>
      <w:r w:rsidR="00E461EE">
        <w:t xml:space="preserve">, duration and onset age, based on multiple measures of BMI in childhood. Overweight status </w:t>
      </w:r>
      <w:r w:rsidR="00DA362D">
        <w:t>will be</w:t>
      </w:r>
      <w:r w:rsidR="00E461EE">
        <w:t xml:space="preserve"> categorized as never overweight, weight cycling (any shift in classification from overweight</w:t>
      </w:r>
      <w:r w:rsidR="00E461EE" w:rsidRPr="00D978F9">
        <w:t xml:space="preserve"> to </w:t>
      </w:r>
      <w:r w:rsidR="00E461EE">
        <w:t>normal weight)</w:t>
      </w:r>
      <w:proofErr w:type="gramStart"/>
      <w:r w:rsidR="00E461EE">
        <w:t>,</w:t>
      </w:r>
      <w:proofErr w:type="gramEnd"/>
      <w:r w:rsidR="00E461EE">
        <w:t xml:space="preserve"> </w:t>
      </w:r>
      <w:r w:rsidR="00E461EE" w:rsidRPr="00D978F9">
        <w:t>persistent</w:t>
      </w:r>
      <w:r w:rsidR="00E461EE">
        <w:t xml:space="preserve"> overweight (overweight at all measures) and incident overweight (normal weight</w:t>
      </w:r>
      <w:r>
        <w:t xml:space="preserve"> then becoming</w:t>
      </w:r>
      <w:r w:rsidR="00E461EE" w:rsidRPr="00D978F9">
        <w:t xml:space="preserve"> and </w:t>
      </w:r>
      <w:r w:rsidRPr="00D978F9">
        <w:t>r</w:t>
      </w:r>
      <w:r>
        <w:t>emaining</w:t>
      </w:r>
      <w:r w:rsidR="00E461EE">
        <w:t xml:space="preserve"> overweight through</w:t>
      </w:r>
      <w:r>
        <w:t xml:space="preserve"> the</w:t>
      </w:r>
      <w:r w:rsidR="00E461EE">
        <w:t xml:space="preserve"> last examination</w:t>
      </w:r>
      <w:r>
        <w:t xml:space="preserve"> in childhood</w:t>
      </w:r>
      <w:r w:rsidR="00E461EE">
        <w:t>). Duratio</w:t>
      </w:r>
      <w:r w:rsidR="00DA362D">
        <w:t>n of overweight in childhood will be</w:t>
      </w:r>
      <w:r w:rsidR="00E461EE" w:rsidRPr="00CC43FD">
        <w:t xml:space="preserve"> b</w:t>
      </w:r>
      <w:r w:rsidR="00E461EE">
        <w:t>ased on the presence of overweight</w:t>
      </w:r>
      <w:r>
        <w:t xml:space="preserve"> at each follow-up exam</w:t>
      </w:r>
      <w:r w:rsidR="00E461EE" w:rsidRPr="00CC43FD">
        <w:t xml:space="preserve"> and the preceding examination. </w:t>
      </w:r>
      <w:r w:rsidR="00E461EE">
        <w:t xml:space="preserve">For participants in the persistent or incident overweight </w:t>
      </w:r>
      <w:r>
        <w:t xml:space="preserve">groups, </w:t>
      </w:r>
      <w:r w:rsidR="00DA362D">
        <w:t xml:space="preserve">duration </w:t>
      </w:r>
      <w:r>
        <w:t xml:space="preserve">will be calculated as the </w:t>
      </w:r>
      <w:r w:rsidR="00E461EE">
        <w:t>cumulative number of consecutive years of overweight throughout</w:t>
      </w:r>
      <w:r w:rsidR="00E461EE" w:rsidRPr="00CC43FD">
        <w:t xml:space="preserve"> </w:t>
      </w:r>
      <w:r w:rsidR="00E461EE">
        <w:t>childhood; for those in the never overweight</w:t>
      </w:r>
      <w:r w:rsidR="00DA362D">
        <w:t xml:space="preserve"> group, the duration is</w:t>
      </w:r>
      <w:r w:rsidR="00E461EE">
        <w:t xml:space="preserve"> 0; and the </w:t>
      </w:r>
      <w:r w:rsidR="00DA362D">
        <w:t>duration will</w:t>
      </w:r>
      <w:r w:rsidR="00E461EE">
        <w:t xml:space="preserve"> not </w:t>
      </w:r>
      <w:r w:rsidR="00DA362D">
        <w:t xml:space="preserve">be </w:t>
      </w:r>
      <w:r w:rsidR="00E461EE">
        <w:t>calculated for those in the overweight cycling group because the i</w:t>
      </w:r>
      <w:r w:rsidR="00DA362D">
        <w:t>mpact of overweight duration</w:t>
      </w:r>
      <w:r>
        <w:t xml:space="preserve"> is not clear</w:t>
      </w:r>
      <w:r w:rsidR="00E461EE">
        <w:t>. Onset age of overwei</w:t>
      </w:r>
      <w:r w:rsidR="00DA362D">
        <w:t>ght will be</w:t>
      </w:r>
      <w:r w:rsidR="00E461EE">
        <w:t xml:space="preserve"> determined using individuals' age at the initial overweight classification and categorized as prior to puberty (earlier than 12 years age) or adolescent (13 to 18 years of age) for those in the incident overweight group only.</w:t>
      </w:r>
    </w:p>
    <w:p w:rsidR="00423517" w:rsidRPr="00F33261" w:rsidRDefault="00FE20CC" w:rsidP="00ED3C2B">
      <w:pPr>
        <w:tabs>
          <w:tab w:val="left" w:pos="180"/>
        </w:tabs>
        <w:spacing w:afterLines="120" w:after="288"/>
        <w:ind w:left="360"/>
      </w:pPr>
      <w:r w:rsidRPr="0089237B">
        <w:t xml:space="preserve">Descriptive statistics </w:t>
      </w:r>
      <w:r w:rsidR="00F33261">
        <w:t>will be employed to define</w:t>
      </w:r>
      <w:r>
        <w:t xml:space="preserve"> population characteristics and sleep related outcomes in adulthood </w:t>
      </w:r>
      <w:r w:rsidR="00AC68D8">
        <w:t>will be</w:t>
      </w:r>
      <w:r w:rsidRPr="0089237B">
        <w:t xml:space="preserve"> </w:t>
      </w:r>
      <w:r w:rsidR="00F33261">
        <w:t>obtained</w:t>
      </w:r>
      <w:r w:rsidRPr="0089237B">
        <w:t xml:space="preserve"> for all study variables</w:t>
      </w:r>
      <w:r>
        <w:t xml:space="preserve"> by </w:t>
      </w:r>
      <w:r w:rsidR="00740632">
        <w:t xml:space="preserve">the </w:t>
      </w:r>
      <w:r>
        <w:t>four overweight patterns</w:t>
      </w:r>
      <w:r w:rsidRPr="0089237B">
        <w:t xml:space="preserve">. </w:t>
      </w:r>
      <w:proofErr w:type="spellStart"/>
      <w:r w:rsidR="00F33261">
        <w:t>Polytmous</w:t>
      </w:r>
      <w:proofErr w:type="spellEnd"/>
      <w:r w:rsidR="00F33261">
        <w:t xml:space="preserve"> </w:t>
      </w:r>
      <w:r w:rsidRPr="001D7F99">
        <w:t xml:space="preserve">logistic regression </w:t>
      </w:r>
      <w:r w:rsidR="00F33261">
        <w:t xml:space="preserve">models will be used, </w:t>
      </w:r>
      <w:r w:rsidR="00305834">
        <w:t>adjust</w:t>
      </w:r>
      <w:r w:rsidR="00F33261">
        <w:t>ed</w:t>
      </w:r>
      <w:r>
        <w:t xml:space="preserve"> for age, race, </w:t>
      </w:r>
      <w:r w:rsidRPr="0089237B">
        <w:t>gender</w:t>
      </w:r>
      <w:bookmarkStart w:id="3" w:name="OLE_LINK3"/>
      <w:bookmarkStart w:id="4" w:name="OLE_LINK4"/>
      <w:r w:rsidR="00FE5DDC">
        <w:t xml:space="preserve">, and follow-up time, </w:t>
      </w:r>
      <w:r w:rsidRPr="0089237B">
        <w:rPr>
          <w:rFonts w:eastAsia="SimSun"/>
        </w:rPr>
        <w:t xml:space="preserve">educational levels, </w:t>
      </w:r>
      <w:r w:rsidR="005F1A44" w:rsidRPr="0089237B">
        <w:t>leisure-time physical activity</w:t>
      </w:r>
      <w:r w:rsidR="005F1A44">
        <w:t xml:space="preserve"> (</w:t>
      </w:r>
      <w:r w:rsidR="00F33261">
        <w:t>measured in adulthood</w:t>
      </w:r>
      <w:r w:rsidR="005F1A44">
        <w:t>),</w:t>
      </w:r>
      <w:r w:rsidR="00F33261">
        <w:t xml:space="preserve"> with</w:t>
      </w:r>
      <w:r w:rsidR="005F1A44" w:rsidRPr="0089237B">
        <w:rPr>
          <w:rFonts w:eastAsia="SimSun"/>
        </w:rPr>
        <w:t xml:space="preserve"> </w:t>
      </w:r>
      <w:r w:rsidRPr="0089237B">
        <w:rPr>
          <w:rFonts w:eastAsia="SimSun"/>
        </w:rPr>
        <w:t xml:space="preserve">time-dependent covariates </w:t>
      </w:r>
      <w:bookmarkEnd w:id="3"/>
      <w:bookmarkEnd w:id="4"/>
      <w:r w:rsidRPr="0089237B">
        <w:t xml:space="preserve">including regular </w:t>
      </w:r>
      <w:r w:rsidR="005F1A44">
        <w:t xml:space="preserve">alcohol </w:t>
      </w:r>
      <w:r w:rsidR="00F33261">
        <w:t>use</w:t>
      </w:r>
      <w:r w:rsidR="00FE5DDC">
        <w:t xml:space="preserve"> and current smoking</w:t>
      </w:r>
      <w:r>
        <w:t xml:space="preserve">. </w:t>
      </w:r>
      <w:r w:rsidR="00F33261">
        <w:t>G</w:t>
      </w:r>
      <w:r w:rsidR="006A173B">
        <w:t>ender and race differences will be</w:t>
      </w:r>
      <w:r w:rsidRPr="0089237B">
        <w:t xml:space="preserve"> tested for interaction. </w:t>
      </w:r>
      <w:r w:rsidR="00BD7F6D">
        <w:t>Analyses will be</w:t>
      </w:r>
      <w:r w:rsidRPr="0089237B">
        <w:t xml:space="preserve"> performed using SAS 9.3 for Windows (SAS Institute, Cary, North Carolina).</w:t>
      </w:r>
    </w:p>
    <w:sectPr w:rsidR="00423517" w:rsidRPr="00F33261" w:rsidSect="00EB2F6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13DA" w:rsidRDefault="004013DA">
      <w:r>
        <w:separator/>
      </w:r>
    </w:p>
  </w:endnote>
  <w:endnote w:type="continuationSeparator" w:id="0">
    <w:p w:rsidR="004013DA" w:rsidRDefault="00401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Sans">
    <w:altName w:val="Arial Narrow"/>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887" w:rsidRDefault="00DF5887" w:rsidP="00EB2F6E">
    <w:pPr>
      <w:pStyle w:val="Footer"/>
      <w:jc w:val="right"/>
    </w:pPr>
    <w:r>
      <w:t xml:space="preserve">Page </w:t>
    </w:r>
    <w:r w:rsidR="004013DA">
      <w:fldChar w:fldCharType="begin"/>
    </w:r>
    <w:r w:rsidR="004013DA">
      <w:instrText xml:space="preserve"> PAGE </w:instrText>
    </w:r>
    <w:r w:rsidR="004013DA">
      <w:fldChar w:fldCharType="separate"/>
    </w:r>
    <w:r w:rsidR="00B018C5">
      <w:rPr>
        <w:noProof/>
      </w:rPr>
      <w:t>1</w:t>
    </w:r>
    <w:r w:rsidR="004013DA">
      <w:rPr>
        <w:noProof/>
      </w:rPr>
      <w:fldChar w:fldCharType="end"/>
    </w:r>
    <w:r>
      <w:t xml:space="preserve"> of </w:t>
    </w:r>
    <w:fldSimple w:instr=" NUMPAGES ">
      <w:r w:rsidR="00B018C5">
        <w:rPr>
          <w:noProof/>
        </w:rPr>
        <w:t>2</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13DA" w:rsidRDefault="004013DA">
      <w:r>
        <w:separator/>
      </w:r>
    </w:p>
  </w:footnote>
  <w:footnote w:type="continuationSeparator" w:id="0">
    <w:p w:rsidR="004013DA" w:rsidRDefault="004013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72E80"/>
    <w:multiLevelType w:val="hybridMultilevel"/>
    <w:tmpl w:val="5030CA4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56C6CA9"/>
    <w:multiLevelType w:val="hybridMultilevel"/>
    <w:tmpl w:val="92E03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297D54"/>
    <w:multiLevelType w:val="hybridMultilevel"/>
    <w:tmpl w:val="ABD0D8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948451B"/>
    <w:multiLevelType w:val="hybridMultilevel"/>
    <w:tmpl w:val="D4DEFE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D65582"/>
    <w:multiLevelType w:val="hybridMultilevel"/>
    <w:tmpl w:val="AF525F4C"/>
    <w:lvl w:ilvl="0" w:tplc="2490EA7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46A"/>
    <w:rsid w:val="00022D17"/>
    <w:rsid w:val="0004332C"/>
    <w:rsid w:val="00045762"/>
    <w:rsid w:val="00056C80"/>
    <w:rsid w:val="000605FB"/>
    <w:rsid w:val="00067AEB"/>
    <w:rsid w:val="00085674"/>
    <w:rsid w:val="000D1DF9"/>
    <w:rsid w:val="000D79E7"/>
    <w:rsid w:val="000F1E4C"/>
    <w:rsid w:val="000F5005"/>
    <w:rsid w:val="000F6354"/>
    <w:rsid w:val="00102FB9"/>
    <w:rsid w:val="0012345C"/>
    <w:rsid w:val="00123A1C"/>
    <w:rsid w:val="00123B32"/>
    <w:rsid w:val="00141C34"/>
    <w:rsid w:val="00143D3A"/>
    <w:rsid w:val="001527CF"/>
    <w:rsid w:val="00153FCE"/>
    <w:rsid w:val="00155A97"/>
    <w:rsid w:val="001709D7"/>
    <w:rsid w:val="001764E6"/>
    <w:rsid w:val="001A1F0D"/>
    <w:rsid w:val="001A46D6"/>
    <w:rsid w:val="001A4F54"/>
    <w:rsid w:val="001D19DF"/>
    <w:rsid w:val="001E69D5"/>
    <w:rsid w:val="00203FBA"/>
    <w:rsid w:val="00205AE9"/>
    <w:rsid w:val="002257E8"/>
    <w:rsid w:val="00225A8C"/>
    <w:rsid w:val="00240390"/>
    <w:rsid w:val="00240AC2"/>
    <w:rsid w:val="00241C14"/>
    <w:rsid w:val="00287020"/>
    <w:rsid w:val="002973AE"/>
    <w:rsid w:val="002E5A82"/>
    <w:rsid w:val="002F0EBD"/>
    <w:rsid w:val="00305834"/>
    <w:rsid w:val="00306415"/>
    <w:rsid w:val="00307771"/>
    <w:rsid w:val="003119D9"/>
    <w:rsid w:val="003638F1"/>
    <w:rsid w:val="0037605A"/>
    <w:rsid w:val="003775B3"/>
    <w:rsid w:val="003A5DC2"/>
    <w:rsid w:val="003B605A"/>
    <w:rsid w:val="003C0465"/>
    <w:rsid w:val="003C0B81"/>
    <w:rsid w:val="003E1D1F"/>
    <w:rsid w:val="003E664B"/>
    <w:rsid w:val="003E6BB3"/>
    <w:rsid w:val="003F0430"/>
    <w:rsid w:val="003F729D"/>
    <w:rsid w:val="0040102B"/>
    <w:rsid w:val="004013DA"/>
    <w:rsid w:val="004156FA"/>
    <w:rsid w:val="00423517"/>
    <w:rsid w:val="0042646A"/>
    <w:rsid w:val="00437A8B"/>
    <w:rsid w:val="00444BBE"/>
    <w:rsid w:val="004524BE"/>
    <w:rsid w:val="00465C10"/>
    <w:rsid w:val="00477BBF"/>
    <w:rsid w:val="004825B3"/>
    <w:rsid w:val="004A3E01"/>
    <w:rsid w:val="004A5400"/>
    <w:rsid w:val="004B1642"/>
    <w:rsid w:val="004C22D4"/>
    <w:rsid w:val="004E5ADC"/>
    <w:rsid w:val="004F2CA4"/>
    <w:rsid w:val="004F3434"/>
    <w:rsid w:val="004F3455"/>
    <w:rsid w:val="004F4616"/>
    <w:rsid w:val="00520B77"/>
    <w:rsid w:val="00524448"/>
    <w:rsid w:val="00540B0D"/>
    <w:rsid w:val="00546D1E"/>
    <w:rsid w:val="00555F3C"/>
    <w:rsid w:val="00557C80"/>
    <w:rsid w:val="00576769"/>
    <w:rsid w:val="00591AFB"/>
    <w:rsid w:val="00597D8E"/>
    <w:rsid w:val="005A3796"/>
    <w:rsid w:val="005A4E31"/>
    <w:rsid w:val="005D0F65"/>
    <w:rsid w:val="005D5CF2"/>
    <w:rsid w:val="005F1A44"/>
    <w:rsid w:val="00600356"/>
    <w:rsid w:val="00607DC1"/>
    <w:rsid w:val="006159E7"/>
    <w:rsid w:val="00615EBB"/>
    <w:rsid w:val="00620851"/>
    <w:rsid w:val="00620D0A"/>
    <w:rsid w:val="006303BE"/>
    <w:rsid w:val="00630B29"/>
    <w:rsid w:val="00674C36"/>
    <w:rsid w:val="00676A4B"/>
    <w:rsid w:val="0069694F"/>
    <w:rsid w:val="006A173B"/>
    <w:rsid w:val="006D6A8F"/>
    <w:rsid w:val="006E346F"/>
    <w:rsid w:val="006E791D"/>
    <w:rsid w:val="006F7413"/>
    <w:rsid w:val="00711A5C"/>
    <w:rsid w:val="00714B02"/>
    <w:rsid w:val="00720D32"/>
    <w:rsid w:val="0073119B"/>
    <w:rsid w:val="00740632"/>
    <w:rsid w:val="00742FC4"/>
    <w:rsid w:val="007532EA"/>
    <w:rsid w:val="00765BAF"/>
    <w:rsid w:val="0078526A"/>
    <w:rsid w:val="007A43B0"/>
    <w:rsid w:val="007A45B7"/>
    <w:rsid w:val="007A6874"/>
    <w:rsid w:val="007B1563"/>
    <w:rsid w:val="007B6C91"/>
    <w:rsid w:val="007C3ABB"/>
    <w:rsid w:val="007E58CF"/>
    <w:rsid w:val="007E72A2"/>
    <w:rsid w:val="007E7B40"/>
    <w:rsid w:val="007F3CF9"/>
    <w:rsid w:val="007F54FA"/>
    <w:rsid w:val="007F631D"/>
    <w:rsid w:val="007F7DA3"/>
    <w:rsid w:val="00830DC0"/>
    <w:rsid w:val="00831CDF"/>
    <w:rsid w:val="008352DD"/>
    <w:rsid w:val="008638FA"/>
    <w:rsid w:val="008703AA"/>
    <w:rsid w:val="00871219"/>
    <w:rsid w:val="0088020C"/>
    <w:rsid w:val="008960BC"/>
    <w:rsid w:val="008A3751"/>
    <w:rsid w:val="008A7155"/>
    <w:rsid w:val="008B57E1"/>
    <w:rsid w:val="008D289A"/>
    <w:rsid w:val="008D367B"/>
    <w:rsid w:val="008E3C81"/>
    <w:rsid w:val="008E476C"/>
    <w:rsid w:val="008F74BC"/>
    <w:rsid w:val="00902726"/>
    <w:rsid w:val="00911AB9"/>
    <w:rsid w:val="0091422B"/>
    <w:rsid w:val="00930855"/>
    <w:rsid w:val="009345EB"/>
    <w:rsid w:val="00935ECA"/>
    <w:rsid w:val="00950200"/>
    <w:rsid w:val="00953927"/>
    <w:rsid w:val="00970553"/>
    <w:rsid w:val="0097528C"/>
    <w:rsid w:val="00984AFC"/>
    <w:rsid w:val="0098674D"/>
    <w:rsid w:val="009D378E"/>
    <w:rsid w:val="009E69B5"/>
    <w:rsid w:val="009F3D8D"/>
    <w:rsid w:val="009F7F6A"/>
    <w:rsid w:val="00A01912"/>
    <w:rsid w:val="00A105B5"/>
    <w:rsid w:val="00A13A5B"/>
    <w:rsid w:val="00A16F07"/>
    <w:rsid w:val="00A2180B"/>
    <w:rsid w:val="00A22B88"/>
    <w:rsid w:val="00A33B60"/>
    <w:rsid w:val="00A35AFE"/>
    <w:rsid w:val="00A7090E"/>
    <w:rsid w:val="00A80D1F"/>
    <w:rsid w:val="00AB2604"/>
    <w:rsid w:val="00AC68D8"/>
    <w:rsid w:val="00AE75F0"/>
    <w:rsid w:val="00AF03F7"/>
    <w:rsid w:val="00AF13FA"/>
    <w:rsid w:val="00AF64E2"/>
    <w:rsid w:val="00B018C5"/>
    <w:rsid w:val="00B02A58"/>
    <w:rsid w:val="00B33DF7"/>
    <w:rsid w:val="00B41A26"/>
    <w:rsid w:val="00B54124"/>
    <w:rsid w:val="00B569BE"/>
    <w:rsid w:val="00B617A8"/>
    <w:rsid w:val="00B6618E"/>
    <w:rsid w:val="00B73713"/>
    <w:rsid w:val="00B84201"/>
    <w:rsid w:val="00B973C3"/>
    <w:rsid w:val="00BA0CC6"/>
    <w:rsid w:val="00BB6CED"/>
    <w:rsid w:val="00BB7E2D"/>
    <w:rsid w:val="00BC3C9F"/>
    <w:rsid w:val="00BD1E86"/>
    <w:rsid w:val="00BD2475"/>
    <w:rsid w:val="00BD7F6D"/>
    <w:rsid w:val="00BE282B"/>
    <w:rsid w:val="00BF69B7"/>
    <w:rsid w:val="00C12AFA"/>
    <w:rsid w:val="00C14F6D"/>
    <w:rsid w:val="00C25A08"/>
    <w:rsid w:val="00C2787B"/>
    <w:rsid w:val="00C73359"/>
    <w:rsid w:val="00C76819"/>
    <w:rsid w:val="00C777A5"/>
    <w:rsid w:val="00C939D6"/>
    <w:rsid w:val="00C96D39"/>
    <w:rsid w:val="00C97FA0"/>
    <w:rsid w:val="00CA2AA7"/>
    <w:rsid w:val="00CB4B8A"/>
    <w:rsid w:val="00CB5D92"/>
    <w:rsid w:val="00CD3262"/>
    <w:rsid w:val="00CF7B25"/>
    <w:rsid w:val="00D043CA"/>
    <w:rsid w:val="00D17163"/>
    <w:rsid w:val="00D203C0"/>
    <w:rsid w:val="00D22677"/>
    <w:rsid w:val="00D36C83"/>
    <w:rsid w:val="00D454FC"/>
    <w:rsid w:val="00D65286"/>
    <w:rsid w:val="00D82798"/>
    <w:rsid w:val="00D8578A"/>
    <w:rsid w:val="00DA362D"/>
    <w:rsid w:val="00DC7968"/>
    <w:rsid w:val="00DF0C98"/>
    <w:rsid w:val="00DF42AC"/>
    <w:rsid w:val="00DF5887"/>
    <w:rsid w:val="00E10020"/>
    <w:rsid w:val="00E1181D"/>
    <w:rsid w:val="00E4200B"/>
    <w:rsid w:val="00E461EE"/>
    <w:rsid w:val="00E64C08"/>
    <w:rsid w:val="00E64C54"/>
    <w:rsid w:val="00E74A3A"/>
    <w:rsid w:val="00EA4AA1"/>
    <w:rsid w:val="00EB2F6E"/>
    <w:rsid w:val="00EB3021"/>
    <w:rsid w:val="00EC09AC"/>
    <w:rsid w:val="00EC4D71"/>
    <w:rsid w:val="00ED3C2B"/>
    <w:rsid w:val="00ED5066"/>
    <w:rsid w:val="00ED5DE3"/>
    <w:rsid w:val="00EF0B3C"/>
    <w:rsid w:val="00F06108"/>
    <w:rsid w:val="00F11FF3"/>
    <w:rsid w:val="00F33261"/>
    <w:rsid w:val="00F5637A"/>
    <w:rsid w:val="00F83B05"/>
    <w:rsid w:val="00F84474"/>
    <w:rsid w:val="00FB258A"/>
    <w:rsid w:val="00FC4D72"/>
    <w:rsid w:val="00FE20CC"/>
    <w:rsid w:val="00FE5DDC"/>
    <w:rsid w:val="00FE7A01"/>
    <w:rsid w:val="00FF4130"/>
    <w:rsid w:val="00FF41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6F07"/>
    <w:rPr>
      <w:sz w:val="24"/>
      <w:szCs w:val="24"/>
      <w:lang w:eastAsia="en-US"/>
    </w:rPr>
  </w:style>
  <w:style w:type="paragraph" w:styleId="Heading1">
    <w:name w:val="heading 1"/>
    <w:basedOn w:val="Normal"/>
    <w:next w:val="Normal"/>
    <w:link w:val="Heading1Char"/>
    <w:qFormat/>
    <w:rsid w:val="001D19DF"/>
    <w:pPr>
      <w:keepNext/>
      <w:outlineLvl w:val="0"/>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B3021"/>
    <w:rPr>
      <w:color w:val="0033CC"/>
      <w:u w:val="single"/>
    </w:rPr>
  </w:style>
  <w:style w:type="paragraph" w:styleId="BalloonText">
    <w:name w:val="Balloon Text"/>
    <w:basedOn w:val="Normal"/>
    <w:semiHidden/>
    <w:rsid w:val="00930855"/>
    <w:rPr>
      <w:rFonts w:ascii="Tahoma" w:hAnsi="Tahoma" w:cs="Tahoma"/>
      <w:sz w:val="16"/>
      <w:szCs w:val="16"/>
    </w:rPr>
  </w:style>
  <w:style w:type="paragraph" w:styleId="Title">
    <w:name w:val="Title"/>
    <w:basedOn w:val="Normal"/>
    <w:qFormat/>
    <w:rsid w:val="00EB2F6E"/>
    <w:pPr>
      <w:jc w:val="center"/>
    </w:pPr>
    <w:rPr>
      <w:rFonts w:ascii="GillSans" w:hAnsi="GillSans"/>
      <w:b/>
      <w:sz w:val="28"/>
      <w:szCs w:val="20"/>
    </w:rPr>
  </w:style>
  <w:style w:type="paragraph" w:styleId="BodyTextIndent">
    <w:name w:val="Body Text Indent"/>
    <w:basedOn w:val="Normal"/>
    <w:rsid w:val="00EB2F6E"/>
    <w:pPr>
      <w:ind w:left="360" w:hanging="360"/>
    </w:pPr>
    <w:rPr>
      <w:rFonts w:ascii="GillSans" w:hAnsi="GillSans"/>
      <w:b/>
      <w:szCs w:val="20"/>
    </w:rPr>
  </w:style>
  <w:style w:type="paragraph" w:styleId="Header">
    <w:name w:val="header"/>
    <w:basedOn w:val="Normal"/>
    <w:rsid w:val="00EB2F6E"/>
    <w:pPr>
      <w:tabs>
        <w:tab w:val="center" w:pos="4320"/>
        <w:tab w:val="right" w:pos="8640"/>
      </w:tabs>
    </w:pPr>
  </w:style>
  <w:style w:type="paragraph" w:styleId="Footer">
    <w:name w:val="footer"/>
    <w:basedOn w:val="Normal"/>
    <w:rsid w:val="00EB2F6E"/>
    <w:pPr>
      <w:tabs>
        <w:tab w:val="center" w:pos="4320"/>
        <w:tab w:val="right" w:pos="8640"/>
      </w:tabs>
    </w:pPr>
  </w:style>
  <w:style w:type="character" w:customStyle="1" w:styleId="apple-converted-space">
    <w:name w:val="apple-converted-space"/>
    <w:basedOn w:val="DefaultParagraphFont"/>
    <w:rsid w:val="008E3C81"/>
  </w:style>
  <w:style w:type="table" w:styleId="TableGrid">
    <w:name w:val="Table Grid"/>
    <w:basedOn w:val="TableNormal"/>
    <w:uiPriority w:val="59"/>
    <w:rsid w:val="004156F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C777A5"/>
    <w:rPr>
      <w:b/>
      <w:bCs/>
    </w:rPr>
  </w:style>
  <w:style w:type="character" w:customStyle="1" w:styleId="Heading1Char">
    <w:name w:val="Heading 1 Char"/>
    <w:basedOn w:val="DefaultParagraphFont"/>
    <w:link w:val="Heading1"/>
    <w:rsid w:val="001D19DF"/>
    <w:rPr>
      <w:sz w:val="24"/>
      <w:lang w:eastAsia="en-US"/>
    </w:rPr>
  </w:style>
  <w:style w:type="paragraph" w:styleId="ListParagraph">
    <w:name w:val="List Paragraph"/>
    <w:basedOn w:val="Normal"/>
    <w:uiPriority w:val="34"/>
    <w:qFormat/>
    <w:rsid w:val="007A43B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6F07"/>
    <w:rPr>
      <w:sz w:val="24"/>
      <w:szCs w:val="24"/>
      <w:lang w:eastAsia="en-US"/>
    </w:rPr>
  </w:style>
  <w:style w:type="paragraph" w:styleId="Heading1">
    <w:name w:val="heading 1"/>
    <w:basedOn w:val="Normal"/>
    <w:next w:val="Normal"/>
    <w:link w:val="Heading1Char"/>
    <w:qFormat/>
    <w:rsid w:val="001D19DF"/>
    <w:pPr>
      <w:keepNext/>
      <w:outlineLvl w:val="0"/>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B3021"/>
    <w:rPr>
      <w:color w:val="0033CC"/>
      <w:u w:val="single"/>
    </w:rPr>
  </w:style>
  <w:style w:type="paragraph" w:styleId="BalloonText">
    <w:name w:val="Balloon Text"/>
    <w:basedOn w:val="Normal"/>
    <w:semiHidden/>
    <w:rsid w:val="00930855"/>
    <w:rPr>
      <w:rFonts w:ascii="Tahoma" w:hAnsi="Tahoma" w:cs="Tahoma"/>
      <w:sz w:val="16"/>
      <w:szCs w:val="16"/>
    </w:rPr>
  </w:style>
  <w:style w:type="paragraph" w:styleId="Title">
    <w:name w:val="Title"/>
    <w:basedOn w:val="Normal"/>
    <w:qFormat/>
    <w:rsid w:val="00EB2F6E"/>
    <w:pPr>
      <w:jc w:val="center"/>
    </w:pPr>
    <w:rPr>
      <w:rFonts w:ascii="GillSans" w:hAnsi="GillSans"/>
      <w:b/>
      <w:sz w:val="28"/>
      <w:szCs w:val="20"/>
    </w:rPr>
  </w:style>
  <w:style w:type="paragraph" w:styleId="BodyTextIndent">
    <w:name w:val="Body Text Indent"/>
    <w:basedOn w:val="Normal"/>
    <w:rsid w:val="00EB2F6E"/>
    <w:pPr>
      <w:ind w:left="360" w:hanging="360"/>
    </w:pPr>
    <w:rPr>
      <w:rFonts w:ascii="GillSans" w:hAnsi="GillSans"/>
      <w:b/>
      <w:szCs w:val="20"/>
    </w:rPr>
  </w:style>
  <w:style w:type="paragraph" w:styleId="Header">
    <w:name w:val="header"/>
    <w:basedOn w:val="Normal"/>
    <w:rsid w:val="00EB2F6E"/>
    <w:pPr>
      <w:tabs>
        <w:tab w:val="center" w:pos="4320"/>
        <w:tab w:val="right" w:pos="8640"/>
      </w:tabs>
    </w:pPr>
  </w:style>
  <w:style w:type="paragraph" w:styleId="Footer">
    <w:name w:val="footer"/>
    <w:basedOn w:val="Normal"/>
    <w:rsid w:val="00EB2F6E"/>
    <w:pPr>
      <w:tabs>
        <w:tab w:val="center" w:pos="4320"/>
        <w:tab w:val="right" w:pos="8640"/>
      </w:tabs>
    </w:pPr>
  </w:style>
  <w:style w:type="character" w:customStyle="1" w:styleId="apple-converted-space">
    <w:name w:val="apple-converted-space"/>
    <w:basedOn w:val="DefaultParagraphFont"/>
    <w:rsid w:val="008E3C81"/>
  </w:style>
  <w:style w:type="table" w:styleId="TableGrid">
    <w:name w:val="Table Grid"/>
    <w:basedOn w:val="TableNormal"/>
    <w:uiPriority w:val="59"/>
    <w:rsid w:val="004156F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C777A5"/>
    <w:rPr>
      <w:b/>
      <w:bCs/>
    </w:rPr>
  </w:style>
  <w:style w:type="character" w:customStyle="1" w:styleId="Heading1Char">
    <w:name w:val="Heading 1 Char"/>
    <w:basedOn w:val="DefaultParagraphFont"/>
    <w:link w:val="Heading1"/>
    <w:rsid w:val="001D19DF"/>
    <w:rPr>
      <w:sz w:val="24"/>
      <w:lang w:eastAsia="en-US"/>
    </w:rPr>
  </w:style>
  <w:style w:type="paragraph" w:styleId="ListParagraph">
    <w:name w:val="List Paragraph"/>
    <w:basedOn w:val="Normal"/>
    <w:uiPriority w:val="34"/>
    <w:qFormat/>
    <w:rsid w:val="007A43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646</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Risk Factors for the Progression of Coronary Artery Calcium</vt:lpstr>
    </vt:vector>
  </TitlesOfParts>
  <Company>University of Washington</Company>
  <LinksUpToDate>false</LinksUpToDate>
  <CharactersWithSpaces>4321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Factors for the Progression of Coronary Artery Calcium</dc:title>
  <dc:creator>CHSCC</dc:creator>
  <cp:lastModifiedBy>Andrew Barton</cp:lastModifiedBy>
  <cp:revision>2</cp:revision>
  <cp:lastPrinted>2007-03-22T13:22:00Z</cp:lastPrinted>
  <dcterms:created xsi:type="dcterms:W3CDTF">2014-08-12T17:45:00Z</dcterms:created>
  <dcterms:modified xsi:type="dcterms:W3CDTF">2014-08-12T17:45:00Z</dcterms:modified>
</cp:coreProperties>
</file>